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DC" w:rsidRDefault="00BB0B9F" w:rsidP="00BB0B9F">
      <w:pPr>
        <w:jc w:val="center"/>
        <w:rPr>
          <w:sz w:val="28"/>
          <w:szCs w:val="28"/>
        </w:rPr>
      </w:pPr>
      <w:r w:rsidRPr="00720D81">
        <w:rPr>
          <w:sz w:val="28"/>
          <w:szCs w:val="28"/>
        </w:rPr>
        <w:t>J. Fred Bateman Memorial Prize for Outstanding Senior Thesis</w:t>
      </w:r>
    </w:p>
    <w:p w:rsidR="00DB4ECC" w:rsidRPr="00720D81" w:rsidRDefault="00DB4ECC" w:rsidP="00BB0B9F">
      <w:pPr>
        <w:jc w:val="center"/>
        <w:rPr>
          <w:sz w:val="28"/>
          <w:szCs w:val="28"/>
        </w:rPr>
      </w:pPr>
      <w:r>
        <w:rPr>
          <w:sz w:val="28"/>
          <w:szCs w:val="28"/>
        </w:rPr>
        <w:t>2017-2018</w:t>
      </w:r>
      <w:bookmarkStart w:id="0" w:name="_GoBack"/>
      <w:bookmarkEnd w:id="0"/>
    </w:p>
    <w:p w:rsidR="00BB0B9F" w:rsidRDefault="00BB0B9F" w:rsidP="00BB0B9F">
      <w:pPr>
        <w:jc w:val="center"/>
      </w:pPr>
      <w:r w:rsidRPr="00720D81">
        <w:rPr>
          <w:sz w:val="28"/>
          <w:szCs w:val="28"/>
        </w:rPr>
        <w:t>Nominees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2430"/>
        <w:gridCol w:w="8100"/>
      </w:tblGrid>
      <w:tr w:rsidR="00BB0B9F" w:rsidRPr="00DB4ECC" w:rsidTr="00720D81">
        <w:tc>
          <w:tcPr>
            <w:tcW w:w="2155" w:type="dxa"/>
          </w:tcPr>
          <w:p w:rsidR="00BB0B9F" w:rsidRPr="00DB4ECC" w:rsidRDefault="00BB0B9F" w:rsidP="00720D81">
            <w:pPr>
              <w:rPr>
                <w:rFonts w:cstheme="minorHAnsi"/>
                <w:b/>
                <w:sz w:val="24"/>
                <w:szCs w:val="24"/>
              </w:rPr>
            </w:pPr>
            <w:r w:rsidRPr="00DB4ECC">
              <w:rPr>
                <w:rFonts w:cstheme="minorHAnsi"/>
                <w:b/>
                <w:sz w:val="24"/>
                <w:szCs w:val="24"/>
              </w:rPr>
              <w:t>Student</w:t>
            </w:r>
          </w:p>
        </w:tc>
        <w:tc>
          <w:tcPr>
            <w:tcW w:w="2430" w:type="dxa"/>
          </w:tcPr>
          <w:p w:rsidR="00BB0B9F" w:rsidRPr="00DB4ECC" w:rsidRDefault="00BB0B9F" w:rsidP="00720D81">
            <w:pPr>
              <w:rPr>
                <w:rFonts w:cstheme="minorHAnsi"/>
                <w:b/>
                <w:sz w:val="24"/>
                <w:szCs w:val="24"/>
              </w:rPr>
            </w:pPr>
            <w:r w:rsidRPr="00DB4ECC">
              <w:rPr>
                <w:rFonts w:cstheme="minorHAnsi"/>
                <w:b/>
                <w:sz w:val="24"/>
                <w:szCs w:val="24"/>
              </w:rPr>
              <w:t>Advisor</w:t>
            </w:r>
          </w:p>
        </w:tc>
        <w:tc>
          <w:tcPr>
            <w:tcW w:w="8100" w:type="dxa"/>
          </w:tcPr>
          <w:p w:rsidR="00BB0B9F" w:rsidRPr="00DB4ECC" w:rsidRDefault="00BB0B9F" w:rsidP="00720D81">
            <w:pPr>
              <w:rPr>
                <w:rFonts w:cstheme="minorHAnsi"/>
                <w:b/>
                <w:sz w:val="24"/>
                <w:szCs w:val="24"/>
              </w:rPr>
            </w:pPr>
            <w:r w:rsidRPr="00DB4ECC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</w:tr>
      <w:tr w:rsidR="00BB0B9F" w:rsidRPr="00720D81" w:rsidTr="00720D81">
        <w:tc>
          <w:tcPr>
            <w:tcW w:w="2155" w:type="dxa"/>
          </w:tcPr>
          <w:p w:rsidR="00BB0B9F" w:rsidRPr="003B27ED" w:rsidRDefault="00BB0B9F" w:rsidP="00720D81">
            <w:pPr>
              <w:rPr>
                <w:rFonts w:cstheme="minorHAnsi"/>
                <w:sz w:val="24"/>
                <w:szCs w:val="24"/>
              </w:rPr>
            </w:pPr>
            <w:r w:rsidRPr="003B27ED">
              <w:rPr>
                <w:rFonts w:cstheme="minorHAnsi"/>
                <w:sz w:val="24"/>
                <w:szCs w:val="24"/>
              </w:rPr>
              <w:t>Stephen Ball</w:t>
            </w:r>
          </w:p>
        </w:tc>
        <w:tc>
          <w:tcPr>
            <w:tcW w:w="2430" w:type="dxa"/>
          </w:tcPr>
          <w:p w:rsidR="00BB0B9F" w:rsidRPr="00720D81" w:rsidRDefault="00BB0B9F" w:rsidP="00720D81">
            <w:pPr>
              <w:rPr>
                <w:rFonts w:cstheme="minorHAnsi"/>
                <w:sz w:val="24"/>
                <w:szCs w:val="24"/>
              </w:rPr>
            </w:pPr>
            <w:r w:rsidRPr="00720D81">
              <w:rPr>
                <w:rFonts w:cstheme="minorHAnsi"/>
                <w:sz w:val="24"/>
                <w:szCs w:val="24"/>
              </w:rPr>
              <w:t>Rong Luo</w:t>
            </w:r>
          </w:p>
        </w:tc>
        <w:tc>
          <w:tcPr>
            <w:tcW w:w="8100" w:type="dxa"/>
          </w:tcPr>
          <w:p w:rsidR="00BB0B9F" w:rsidRPr="00720D81" w:rsidRDefault="00BB0B9F" w:rsidP="00720D81">
            <w:pPr>
              <w:rPr>
                <w:rFonts w:cstheme="minorHAnsi"/>
                <w:sz w:val="24"/>
                <w:szCs w:val="24"/>
              </w:rPr>
            </w:pPr>
            <w:r w:rsidRPr="00720D81">
              <w:rPr>
                <w:rFonts w:cstheme="minorHAnsi"/>
                <w:sz w:val="24"/>
                <w:szCs w:val="24"/>
              </w:rPr>
              <w:t>Can NFL Combine Results Predict NFL Success?</w:t>
            </w:r>
          </w:p>
        </w:tc>
      </w:tr>
      <w:tr w:rsidR="00BB0B9F" w:rsidRPr="00720D81" w:rsidTr="00720D81">
        <w:tc>
          <w:tcPr>
            <w:tcW w:w="2155" w:type="dxa"/>
          </w:tcPr>
          <w:p w:rsidR="00BB0B9F" w:rsidRPr="003B27ED" w:rsidRDefault="00BB0B9F" w:rsidP="00720D8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B27ED">
              <w:rPr>
                <w:rFonts w:cstheme="minorHAnsi"/>
                <w:sz w:val="24"/>
                <w:szCs w:val="24"/>
              </w:rPr>
              <w:t>Mikella</w:t>
            </w:r>
            <w:proofErr w:type="spellEnd"/>
            <w:r w:rsidRPr="003B27ED">
              <w:rPr>
                <w:rFonts w:cstheme="minorHAnsi"/>
                <w:sz w:val="24"/>
                <w:szCs w:val="24"/>
              </w:rPr>
              <w:t xml:space="preserve"> Bergsmith</w:t>
            </w:r>
          </w:p>
        </w:tc>
        <w:tc>
          <w:tcPr>
            <w:tcW w:w="2430" w:type="dxa"/>
          </w:tcPr>
          <w:p w:rsidR="00BB0B9F" w:rsidRPr="00720D81" w:rsidRDefault="00BB0B9F" w:rsidP="00720D81">
            <w:pPr>
              <w:rPr>
                <w:rFonts w:cstheme="minorHAnsi"/>
                <w:sz w:val="24"/>
                <w:szCs w:val="24"/>
              </w:rPr>
            </w:pPr>
            <w:r w:rsidRPr="00720D81">
              <w:rPr>
                <w:rFonts w:cstheme="minorHAnsi"/>
                <w:sz w:val="24"/>
                <w:szCs w:val="24"/>
              </w:rPr>
              <w:t xml:space="preserve">Kris </w:t>
            </w:r>
            <w:proofErr w:type="spellStart"/>
            <w:r w:rsidRPr="00720D81">
              <w:rPr>
                <w:rFonts w:cstheme="minorHAnsi"/>
                <w:sz w:val="24"/>
                <w:szCs w:val="24"/>
              </w:rPr>
              <w:t>McWhite</w:t>
            </w:r>
            <w:proofErr w:type="spellEnd"/>
          </w:p>
        </w:tc>
        <w:tc>
          <w:tcPr>
            <w:tcW w:w="8100" w:type="dxa"/>
          </w:tcPr>
          <w:p w:rsidR="00BB0B9F" w:rsidRPr="00720D81" w:rsidRDefault="00BB0B9F" w:rsidP="00720D81">
            <w:pPr>
              <w:rPr>
                <w:rFonts w:cstheme="minorHAnsi"/>
                <w:sz w:val="24"/>
                <w:szCs w:val="24"/>
              </w:rPr>
            </w:pPr>
            <w:r w:rsidRPr="00720D81">
              <w:rPr>
                <w:rFonts w:cstheme="minorHAnsi"/>
                <w:sz w:val="24"/>
                <w:szCs w:val="24"/>
              </w:rPr>
              <w:t>Freedom to Win: Examining the Relationship between Economic Freedom and Olympic Success</w:t>
            </w:r>
          </w:p>
        </w:tc>
      </w:tr>
      <w:tr w:rsidR="00BB0B9F" w:rsidRPr="00720D81" w:rsidTr="00720D81">
        <w:tc>
          <w:tcPr>
            <w:tcW w:w="2155" w:type="dxa"/>
          </w:tcPr>
          <w:p w:rsidR="00BB0B9F" w:rsidRPr="003B27ED" w:rsidRDefault="00BB0B9F" w:rsidP="00720D81">
            <w:pPr>
              <w:rPr>
                <w:rFonts w:cstheme="minorHAnsi"/>
                <w:sz w:val="24"/>
                <w:szCs w:val="24"/>
              </w:rPr>
            </w:pPr>
            <w:r w:rsidRPr="003B27ED">
              <w:rPr>
                <w:rFonts w:cstheme="minorHAnsi"/>
                <w:sz w:val="24"/>
                <w:szCs w:val="24"/>
              </w:rPr>
              <w:t>Claire Brunner</w:t>
            </w:r>
          </w:p>
        </w:tc>
        <w:tc>
          <w:tcPr>
            <w:tcW w:w="2430" w:type="dxa"/>
          </w:tcPr>
          <w:p w:rsidR="00BB0B9F" w:rsidRPr="00720D81" w:rsidRDefault="00BB0B9F" w:rsidP="00720D81">
            <w:pPr>
              <w:rPr>
                <w:rFonts w:cstheme="minorHAnsi"/>
                <w:sz w:val="24"/>
                <w:szCs w:val="24"/>
              </w:rPr>
            </w:pPr>
            <w:r w:rsidRPr="00720D81">
              <w:rPr>
                <w:rFonts w:cstheme="minorHAnsi"/>
                <w:sz w:val="24"/>
                <w:szCs w:val="24"/>
              </w:rPr>
              <w:t>Vincent Pohl</w:t>
            </w:r>
          </w:p>
        </w:tc>
        <w:tc>
          <w:tcPr>
            <w:tcW w:w="8100" w:type="dxa"/>
          </w:tcPr>
          <w:p w:rsidR="00BB0B9F" w:rsidRPr="00720D81" w:rsidRDefault="00BB0B9F" w:rsidP="00720D81">
            <w:pPr>
              <w:rPr>
                <w:rFonts w:cstheme="minorHAnsi"/>
                <w:sz w:val="24"/>
                <w:szCs w:val="24"/>
              </w:rPr>
            </w:pPr>
            <w:r w:rsidRPr="00720D81">
              <w:rPr>
                <w:rFonts w:cstheme="minorHAnsi"/>
                <w:sz w:val="24"/>
                <w:szCs w:val="24"/>
              </w:rPr>
              <w:t xml:space="preserve">Conditions Behind an Epidemic: Investigating </w:t>
            </w:r>
            <w:r w:rsidR="004112D3" w:rsidRPr="00720D81">
              <w:rPr>
                <w:rFonts w:cstheme="minorHAnsi"/>
                <w:sz w:val="24"/>
                <w:szCs w:val="24"/>
              </w:rPr>
              <w:t xml:space="preserve">Wage Growth and Opioids in West </w:t>
            </w:r>
            <w:r w:rsidRPr="00720D81">
              <w:rPr>
                <w:rFonts w:cstheme="minorHAnsi"/>
                <w:sz w:val="24"/>
                <w:szCs w:val="24"/>
              </w:rPr>
              <w:t>Virginia</w:t>
            </w:r>
          </w:p>
        </w:tc>
      </w:tr>
      <w:tr w:rsidR="00BB0B9F" w:rsidRPr="00720D81" w:rsidTr="00720D81">
        <w:tc>
          <w:tcPr>
            <w:tcW w:w="2155" w:type="dxa"/>
          </w:tcPr>
          <w:p w:rsidR="00BB0B9F" w:rsidRPr="003B27ED" w:rsidRDefault="00BB0B9F" w:rsidP="00720D81">
            <w:pPr>
              <w:rPr>
                <w:rFonts w:cstheme="minorHAnsi"/>
                <w:sz w:val="24"/>
                <w:szCs w:val="24"/>
              </w:rPr>
            </w:pPr>
            <w:r w:rsidRPr="003B27ED">
              <w:rPr>
                <w:rFonts w:cstheme="minorHAnsi"/>
                <w:sz w:val="24"/>
                <w:szCs w:val="24"/>
              </w:rPr>
              <w:t>Hailey Clark</w:t>
            </w:r>
          </w:p>
        </w:tc>
        <w:tc>
          <w:tcPr>
            <w:tcW w:w="2430" w:type="dxa"/>
          </w:tcPr>
          <w:p w:rsidR="00BB0B9F" w:rsidRPr="00720D81" w:rsidRDefault="00BB0B9F" w:rsidP="00720D81">
            <w:pPr>
              <w:rPr>
                <w:rFonts w:cstheme="minorHAnsi"/>
                <w:sz w:val="24"/>
                <w:szCs w:val="24"/>
              </w:rPr>
            </w:pPr>
            <w:r w:rsidRPr="00720D81">
              <w:rPr>
                <w:rFonts w:cstheme="minorHAnsi"/>
                <w:sz w:val="24"/>
                <w:szCs w:val="24"/>
              </w:rPr>
              <w:t>Bill Vogt</w:t>
            </w:r>
          </w:p>
        </w:tc>
        <w:tc>
          <w:tcPr>
            <w:tcW w:w="8100" w:type="dxa"/>
          </w:tcPr>
          <w:p w:rsidR="00BB0B9F" w:rsidRPr="00720D81" w:rsidRDefault="004112D3" w:rsidP="00720D81">
            <w:pPr>
              <w:rPr>
                <w:rFonts w:cstheme="minorHAnsi"/>
                <w:sz w:val="24"/>
                <w:szCs w:val="24"/>
              </w:rPr>
            </w:pPr>
            <w:r w:rsidRPr="00720D81">
              <w:rPr>
                <w:rFonts w:cstheme="minorHAnsi"/>
                <w:sz w:val="24"/>
                <w:szCs w:val="24"/>
              </w:rPr>
              <w:t>The Market for Pharmaceuticals for Use During Pregnancy</w:t>
            </w:r>
          </w:p>
        </w:tc>
      </w:tr>
      <w:tr w:rsidR="00BB0B9F" w:rsidRPr="00720D81" w:rsidTr="00720D81">
        <w:tc>
          <w:tcPr>
            <w:tcW w:w="2155" w:type="dxa"/>
          </w:tcPr>
          <w:p w:rsidR="00BB0B9F" w:rsidRPr="003B27ED" w:rsidRDefault="00BB0B9F" w:rsidP="00720D81">
            <w:pPr>
              <w:rPr>
                <w:rFonts w:cstheme="minorHAnsi"/>
                <w:sz w:val="24"/>
                <w:szCs w:val="24"/>
              </w:rPr>
            </w:pPr>
            <w:r w:rsidRPr="003B27ED">
              <w:rPr>
                <w:rFonts w:cstheme="minorHAnsi"/>
                <w:sz w:val="24"/>
                <w:szCs w:val="24"/>
              </w:rPr>
              <w:t>Virginia Hutauruk</w:t>
            </w:r>
          </w:p>
        </w:tc>
        <w:tc>
          <w:tcPr>
            <w:tcW w:w="2430" w:type="dxa"/>
          </w:tcPr>
          <w:p w:rsidR="00BB0B9F" w:rsidRPr="00720D81" w:rsidRDefault="00BB0B9F" w:rsidP="00720D81">
            <w:pPr>
              <w:rPr>
                <w:rFonts w:cstheme="minorHAnsi"/>
                <w:sz w:val="24"/>
                <w:szCs w:val="24"/>
              </w:rPr>
            </w:pPr>
            <w:r w:rsidRPr="00720D81">
              <w:rPr>
                <w:rFonts w:cstheme="minorHAnsi"/>
                <w:sz w:val="24"/>
                <w:szCs w:val="24"/>
              </w:rPr>
              <w:t>Jason Rudbeck</w:t>
            </w:r>
          </w:p>
        </w:tc>
        <w:tc>
          <w:tcPr>
            <w:tcW w:w="8100" w:type="dxa"/>
          </w:tcPr>
          <w:p w:rsidR="00BB0B9F" w:rsidRPr="00720D81" w:rsidRDefault="004112D3" w:rsidP="00720D81">
            <w:pPr>
              <w:rPr>
                <w:rFonts w:cstheme="minorHAnsi"/>
                <w:sz w:val="24"/>
                <w:szCs w:val="24"/>
              </w:rPr>
            </w:pPr>
            <w:r w:rsidRPr="00720D81">
              <w:rPr>
                <w:rFonts w:cstheme="minorHAnsi"/>
                <w:bCs/>
                <w:color w:val="000000"/>
                <w:sz w:val="24"/>
                <w:szCs w:val="24"/>
              </w:rPr>
              <w:t>Are Millennials pursuing higher education at the cost of owning homes?</w:t>
            </w:r>
          </w:p>
        </w:tc>
      </w:tr>
      <w:tr w:rsidR="00BB0B9F" w:rsidRPr="00720D81" w:rsidTr="00720D81">
        <w:tc>
          <w:tcPr>
            <w:tcW w:w="2155" w:type="dxa"/>
          </w:tcPr>
          <w:p w:rsidR="00BB0B9F" w:rsidRPr="003B27ED" w:rsidRDefault="00BB0B9F" w:rsidP="00720D81">
            <w:pPr>
              <w:rPr>
                <w:rFonts w:cstheme="minorHAnsi"/>
                <w:sz w:val="24"/>
                <w:szCs w:val="24"/>
              </w:rPr>
            </w:pPr>
            <w:r w:rsidRPr="003B27ED">
              <w:rPr>
                <w:rFonts w:cstheme="minorHAnsi"/>
                <w:sz w:val="24"/>
                <w:szCs w:val="24"/>
              </w:rPr>
              <w:t>Arianna Jain</w:t>
            </w:r>
          </w:p>
        </w:tc>
        <w:tc>
          <w:tcPr>
            <w:tcW w:w="2430" w:type="dxa"/>
          </w:tcPr>
          <w:p w:rsidR="00BB0B9F" w:rsidRPr="00720D81" w:rsidRDefault="00BB0B9F" w:rsidP="00720D81">
            <w:pPr>
              <w:rPr>
                <w:rFonts w:cstheme="minorHAnsi"/>
                <w:sz w:val="24"/>
                <w:szCs w:val="24"/>
              </w:rPr>
            </w:pPr>
            <w:r w:rsidRPr="00720D81">
              <w:rPr>
                <w:rFonts w:cstheme="minorHAnsi"/>
                <w:sz w:val="24"/>
                <w:szCs w:val="24"/>
              </w:rPr>
              <w:t>Chris Cornwell</w:t>
            </w:r>
          </w:p>
        </w:tc>
        <w:tc>
          <w:tcPr>
            <w:tcW w:w="8100" w:type="dxa"/>
          </w:tcPr>
          <w:p w:rsidR="00BB0B9F" w:rsidRPr="00720D81" w:rsidRDefault="004112D3" w:rsidP="00720D81">
            <w:pPr>
              <w:rPr>
                <w:rFonts w:cstheme="minorHAnsi"/>
                <w:sz w:val="24"/>
                <w:szCs w:val="24"/>
              </w:rPr>
            </w:pPr>
            <w:r w:rsidRPr="00720D81">
              <w:rPr>
                <w:rFonts w:cstheme="minorHAnsi"/>
                <w:sz w:val="24"/>
                <w:szCs w:val="24"/>
              </w:rPr>
              <w:t>Long-Term Effects of Universal Preschool: The Impact of Expanding Access to Preschool on High School Graduation</w:t>
            </w:r>
          </w:p>
        </w:tc>
      </w:tr>
      <w:tr w:rsidR="00BB0B9F" w:rsidRPr="00720D81" w:rsidTr="00720D81">
        <w:tc>
          <w:tcPr>
            <w:tcW w:w="2155" w:type="dxa"/>
          </w:tcPr>
          <w:p w:rsidR="00BB0B9F" w:rsidRPr="003B27ED" w:rsidRDefault="00BB0B9F" w:rsidP="00720D81">
            <w:pPr>
              <w:rPr>
                <w:rFonts w:cstheme="minorHAnsi"/>
                <w:sz w:val="24"/>
                <w:szCs w:val="24"/>
              </w:rPr>
            </w:pPr>
            <w:r w:rsidRPr="003B27ED">
              <w:rPr>
                <w:rFonts w:cstheme="minorHAnsi"/>
                <w:sz w:val="24"/>
                <w:szCs w:val="24"/>
              </w:rPr>
              <w:t>Brice Karickhoff</w:t>
            </w:r>
          </w:p>
        </w:tc>
        <w:tc>
          <w:tcPr>
            <w:tcW w:w="2430" w:type="dxa"/>
          </w:tcPr>
          <w:p w:rsidR="00BB0B9F" w:rsidRPr="00720D81" w:rsidRDefault="00BB0B9F" w:rsidP="00720D81">
            <w:pPr>
              <w:rPr>
                <w:rFonts w:cstheme="minorHAnsi"/>
                <w:sz w:val="24"/>
                <w:szCs w:val="24"/>
              </w:rPr>
            </w:pPr>
            <w:r w:rsidRPr="00720D81">
              <w:rPr>
                <w:rFonts w:cstheme="minorHAnsi"/>
                <w:sz w:val="24"/>
                <w:szCs w:val="24"/>
              </w:rPr>
              <w:t>Laura Zimmermann</w:t>
            </w:r>
          </w:p>
        </w:tc>
        <w:tc>
          <w:tcPr>
            <w:tcW w:w="8100" w:type="dxa"/>
          </w:tcPr>
          <w:p w:rsidR="00BB0B9F" w:rsidRPr="00720D81" w:rsidRDefault="004112D3" w:rsidP="00720D81">
            <w:pPr>
              <w:rPr>
                <w:rFonts w:cstheme="minorHAnsi"/>
                <w:sz w:val="24"/>
                <w:szCs w:val="24"/>
              </w:rPr>
            </w:pPr>
            <w:r w:rsidRPr="00720D81">
              <w:rPr>
                <w:rFonts w:cstheme="minorHAnsi"/>
                <w:sz w:val="24"/>
                <w:szCs w:val="24"/>
              </w:rPr>
              <w:t>Altruism and Economic Modeling: A Proposal for a Budget Constrained Utility Optimization Model Addressing Altruism</w:t>
            </w:r>
          </w:p>
        </w:tc>
      </w:tr>
      <w:tr w:rsidR="00BB0B9F" w:rsidRPr="00720D81" w:rsidTr="00720D81">
        <w:tc>
          <w:tcPr>
            <w:tcW w:w="2155" w:type="dxa"/>
          </w:tcPr>
          <w:p w:rsidR="00BB0B9F" w:rsidRPr="003B27ED" w:rsidRDefault="00BB0B9F" w:rsidP="00720D81">
            <w:pPr>
              <w:rPr>
                <w:rFonts w:cstheme="minorHAnsi"/>
                <w:sz w:val="24"/>
                <w:szCs w:val="24"/>
              </w:rPr>
            </w:pPr>
            <w:r w:rsidRPr="003B27ED">
              <w:rPr>
                <w:rFonts w:cstheme="minorHAnsi"/>
                <w:sz w:val="24"/>
                <w:szCs w:val="24"/>
              </w:rPr>
              <w:t>Daria Kolpakova</w:t>
            </w:r>
          </w:p>
        </w:tc>
        <w:tc>
          <w:tcPr>
            <w:tcW w:w="2430" w:type="dxa"/>
          </w:tcPr>
          <w:p w:rsidR="00BB0B9F" w:rsidRPr="00720D81" w:rsidRDefault="00BB0B9F" w:rsidP="00720D81">
            <w:pPr>
              <w:rPr>
                <w:rFonts w:cstheme="minorHAnsi"/>
                <w:sz w:val="24"/>
                <w:szCs w:val="24"/>
              </w:rPr>
            </w:pPr>
            <w:r w:rsidRPr="00720D81">
              <w:rPr>
                <w:rFonts w:cstheme="minorHAnsi"/>
                <w:sz w:val="24"/>
                <w:szCs w:val="24"/>
              </w:rPr>
              <w:t>Laura Zimmermann</w:t>
            </w:r>
          </w:p>
        </w:tc>
        <w:tc>
          <w:tcPr>
            <w:tcW w:w="8100" w:type="dxa"/>
          </w:tcPr>
          <w:p w:rsidR="00BB0B9F" w:rsidRPr="00720D81" w:rsidRDefault="004112D3" w:rsidP="00720D81">
            <w:pPr>
              <w:outlineLvl w:val="0"/>
              <w:rPr>
                <w:rFonts w:cstheme="minorHAnsi"/>
                <w:sz w:val="24"/>
                <w:szCs w:val="24"/>
              </w:rPr>
            </w:pPr>
            <w:r w:rsidRPr="00720D81">
              <w:rPr>
                <w:rFonts w:cstheme="minorHAnsi"/>
                <w:sz w:val="24"/>
                <w:szCs w:val="24"/>
              </w:rPr>
              <w:t>Productivity and Privatization in Russian Oil &amp; Gas</w:t>
            </w:r>
          </w:p>
        </w:tc>
      </w:tr>
      <w:tr w:rsidR="00BB0B9F" w:rsidRPr="00720D81" w:rsidTr="00720D81">
        <w:tc>
          <w:tcPr>
            <w:tcW w:w="2155" w:type="dxa"/>
          </w:tcPr>
          <w:p w:rsidR="00BB0B9F" w:rsidRPr="003B27ED" w:rsidRDefault="00BB0B9F" w:rsidP="00720D81">
            <w:pPr>
              <w:rPr>
                <w:rFonts w:cstheme="minorHAnsi"/>
                <w:sz w:val="24"/>
                <w:szCs w:val="24"/>
              </w:rPr>
            </w:pPr>
            <w:r w:rsidRPr="003B27ED">
              <w:rPr>
                <w:rFonts w:cstheme="minorHAnsi"/>
                <w:sz w:val="24"/>
                <w:szCs w:val="24"/>
              </w:rPr>
              <w:t>Hannah Mahoney</w:t>
            </w:r>
          </w:p>
        </w:tc>
        <w:tc>
          <w:tcPr>
            <w:tcW w:w="2430" w:type="dxa"/>
          </w:tcPr>
          <w:p w:rsidR="00BB0B9F" w:rsidRPr="00720D81" w:rsidRDefault="00BB0B9F" w:rsidP="00720D81">
            <w:pPr>
              <w:rPr>
                <w:rFonts w:cstheme="minorHAnsi"/>
                <w:sz w:val="24"/>
                <w:szCs w:val="24"/>
              </w:rPr>
            </w:pPr>
            <w:r w:rsidRPr="00720D81">
              <w:rPr>
                <w:rFonts w:cstheme="minorHAnsi"/>
                <w:sz w:val="24"/>
                <w:szCs w:val="24"/>
              </w:rPr>
              <w:t>Nathan Yoder</w:t>
            </w:r>
          </w:p>
        </w:tc>
        <w:tc>
          <w:tcPr>
            <w:tcW w:w="8100" w:type="dxa"/>
          </w:tcPr>
          <w:p w:rsidR="00BB0B9F" w:rsidRPr="00720D81" w:rsidRDefault="004112D3" w:rsidP="00720D81">
            <w:pPr>
              <w:rPr>
                <w:rFonts w:cstheme="minorHAnsi"/>
                <w:sz w:val="24"/>
                <w:szCs w:val="24"/>
              </w:rPr>
            </w:pPr>
            <w:r w:rsidRPr="00720D81">
              <w:rPr>
                <w:rFonts w:eastAsia="Times New Roman" w:cstheme="minorHAnsi"/>
                <w:sz w:val="24"/>
                <w:szCs w:val="24"/>
              </w:rPr>
              <w:t>The Propensity of Giving: Evidence from Suburban Washington, DC</w:t>
            </w:r>
            <w:r w:rsidRPr="00720D81">
              <w:rPr>
                <w:rStyle w:val="CommentReference"/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B0B9F" w:rsidRPr="00720D81" w:rsidTr="00720D81">
        <w:tc>
          <w:tcPr>
            <w:tcW w:w="2155" w:type="dxa"/>
          </w:tcPr>
          <w:p w:rsidR="00BB0B9F" w:rsidRPr="003B27ED" w:rsidRDefault="00BB0B9F" w:rsidP="00720D8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B27ED">
              <w:rPr>
                <w:rFonts w:cstheme="minorHAnsi"/>
                <w:sz w:val="24"/>
                <w:szCs w:val="24"/>
              </w:rPr>
              <w:t>Namna</w:t>
            </w:r>
            <w:proofErr w:type="spellEnd"/>
            <w:r w:rsidRPr="003B27ED">
              <w:rPr>
                <w:rFonts w:cstheme="minorHAnsi"/>
                <w:sz w:val="24"/>
                <w:szCs w:val="24"/>
              </w:rPr>
              <w:t xml:space="preserve"> Okeani</w:t>
            </w:r>
          </w:p>
        </w:tc>
        <w:tc>
          <w:tcPr>
            <w:tcW w:w="2430" w:type="dxa"/>
          </w:tcPr>
          <w:p w:rsidR="00BB0B9F" w:rsidRPr="00720D81" w:rsidRDefault="00BB0B9F" w:rsidP="00720D81">
            <w:pPr>
              <w:rPr>
                <w:rFonts w:cstheme="minorHAnsi"/>
                <w:sz w:val="24"/>
                <w:szCs w:val="24"/>
              </w:rPr>
            </w:pPr>
            <w:r w:rsidRPr="00720D81">
              <w:rPr>
                <w:rFonts w:cstheme="minorHAnsi"/>
                <w:sz w:val="24"/>
                <w:szCs w:val="24"/>
              </w:rPr>
              <w:t>Laura Zimmermann</w:t>
            </w:r>
          </w:p>
        </w:tc>
        <w:tc>
          <w:tcPr>
            <w:tcW w:w="8100" w:type="dxa"/>
          </w:tcPr>
          <w:p w:rsidR="00BB0B9F" w:rsidRPr="00720D81" w:rsidRDefault="004112D3" w:rsidP="00720D81">
            <w:pPr>
              <w:rPr>
                <w:rFonts w:cstheme="minorHAnsi"/>
                <w:sz w:val="24"/>
                <w:szCs w:val="24"/>
              </w:rPr>
            </w:pPr>
            <w:r w:rsidRPr="00720D81">
              <w:rPr>
                <w:rFonts w:cstheme="minorHAnsi"/>
                <w:sz w:val="24"/>
                <w:szCs w:val="24"/>
              </w:rPr>
              <w:t>No Place like Nollywood: An Exploration of Nigeria’s Informal Film Industry</w:t>
            </w:r>
          </w:p>
        </w:tc>
      </w:tr>
      <w:tr w:rsidR="00BB0B9F" w:rsidRPr="00720D81" w:rsidTr="00720D81">
        <w:tc>
          <w:tcPr>
            <w:tcW w:w="2155" w:type="dxa"/>
          </w:tcPr>
          <w:p w:rsidR="00BB0B9F" w:rsidRPr="003B27ED" w:rsidRDefault="00BB0B9F" w:rsidP="00720D81">
            <w:pPr>
              <w:rPr>
                <w:rFonts w:cstheme="minorHAnsi"/>
                <w:sz w:val="24"/>
                <w:szCs w:val="24"/>
              </w:rPr>
            </w:pPr>
            <w:r w:rsidRPr="003B27ED">
              <w:rPr>
                <w:rFonts w:cstheme="minorHAnsi"/>
                <w:sz w:val="24"/>
                <w:szCs w:val="24"/>
              </w:rPr>
              <w:t>Aakash Patel</w:t>
            </w:r>
          </w:p>
        </w:tc>
        <w:tc>
          <w:tcPr>
            <w:tcW w:w="2430" w:type="dxa"/>
          </w:tcPr>
          <w:p w:rsidR="00BB0B9F" w:rsidRPr="00720D81" w:rsidRDefault="00BB0B9F" w:rsidP="00720D81">
            <w:pPr>
              <w:rPr>
                <w:rFonts w:cstheme="minorHAnsi"/>
                <w:sz w:val="24"/>
                <w:szCs w:val="24"/>
              </w:rPr>
            </w:pPr>
            <w:r w:rsidRPr="00720D81">
              <w:rPr>
                <w:rFonts w:cstheme="minorHAnsi"/>
                <w:sz w:val="24"/>
                <w:szCs w:val="24"/>
              </w:rPr>
              <w:t>Vincent Pohl</w:t>
            </w:r>
          </w:p>
        </w:tc>
        <w:tc>
          <w:tcPr>
            <w:tcW w:w="8100" w:type="dxa"/>
          </w:tcPr>
          <w:p w:rsidR="00BB0B9F" w:rsidRPr="00720D81" w:rsidRDefault="004112D3" w:rsidP="00720D81">
            <w:pPr>
              <w:ind w:right="360"/>
              <w:rPr>
                <w:rFonts w:cstheme="minorHAnsi"/>
                <w:sz w:val="24"/>
                <w:szCs w:val="24"/>
              </w:rPr>
            </w:pPr>
            <w:r w:rsidRPr="00720D81">
              <w:rPr>
                <w:rFonts w:cstheme="minorHAnsi"/>
                <w:sz w:val="24"/>
                <w:szCs w:val="24"/>
              </w:rPr>
              <w:t xml:space="preserve">Impact of Medicare Coverage on Mental Healthcare Utilization </w:t>
            </w:r>
          </w:p>
        </w:tc>
      </w:tr>
      <w:tr w:rsidR="00BB0B9F" w:rsidRPr="00720D81" w:rsidTr="00720D81">
        <w:tc>
          <w:tcPr>
            <w:tcW w:w="2155" w:type="dxa"/>
          </w:tcPr>
          <w:p w:rsidR="00BB0B9F" w:rsidRPr="003B27ED" w:rsidRDefault="00BB0B9F" w:rsidP="00720D81">
            <w:pPr>
              <w:rPr>
                <w:rFonts w:cstheme="minorHAnsi"/>
                <w:sz w:val="24"/>
                <w:szCs w:val="24"/>
              </w:rPr>
            </w:pPr>
            <w:r w:rsidRPr="003B27ED">
              <w:rPr>
                <w:rFonts w:cstheme="minorHAnsi"/>
                <w:sz w:val="24"/>
                <w:szCs w:val="24"/>
              </w:rPr>
              <w:t>Stefan Santavicca</w:t>
            </w:r>
          </w:p>
        </w:tc>
        <w:tc>
          <w:tcPr>
            <w:tcW w:w="2430" w:type="dxa"/>
          </w:tcPr>
          <w:p w:rsidR="00BB0B9F" w:rsidRPr="00720D81" w:rsidRDefault="00BB0B9F" w:rsidP="00720D81">
            <w:pPr>
              <w:rPr>
                <w:rFonts w:cstheme="minorHAnsi"/>
                <w:sz w:val="24"/>
                <w:szCs w:val="24"/>
              </w:rPr>
            </w:pPr>
            <w:r w:rsidRPr="00720D81">
              <w:rPr>
                <w:rFonts w:cstheme="minorHAnsi"/>
                <w:sz w:val="24"/>
                <w:szCs w:val="24"/>
              </w:rPr>
              <w:t>Jason Rudbeck</w:t>
            </w:r>
          </w:p>
        </w:tc>
        <w:tc>
          <w:tcPr>
            <w:tcW w:w="8100" w:type="dxa"/>
          </w:tcPr>
          <w:p w:rsidR="00BB0B9F" w:rsidRPr="00720D81" w:rsidRDefault="00720D81" w:rsidP="00720D81">
            <w:pPr>
              <w:rPr>
                <w:rFonts w:cstheme="minorHAnsi"/>
                <w:sz w:val="24"/>
                <w:szCs w:val="24"/>
              </w:rPr>
            </w:pPr>
            <w:r w:rsidRPr="00720D81">
              <w:rPr>
                <w:rFonts w:cstheme="minorHAnsi"/>
                <w:sz w:val="24"/>
                <w:szCs w:val="24"/>
              </w:rPr>
              <w:t>A Light Econometric Inquiry: Does Income Disparity Foster Economic Growth?</w:t>
            </w:r>
          </w:p>
        </w:tc>
      </w:tr>
      <w:tr w:rsidR="004112D3" w:rsidRPr="00720D81" w:rsidTr="00720D81">
        <w:tc>
          <w:tcPr>
            <w:tcW w:w="2155" w:type="dxa"/>
          </w:tcPr>
          <w:p w:rsidR="004112D3" w:rsidRPr="003B27ED" w:rsidRDefault="004112D3" w:rsidP="00720D81">
            <w:pPr>
              <w:rPr>
                <w:rFonts w:cstheme="minorHAnsi"/>
                <w:sz w:val="24"/>
                <w:szCs w:val="24"/>
              </w:rPr>
            </w:pPr>
            <w:r w:rsidRPr="003B27ED">
              <w:rPr>
                <w:rFonts w:cstheme="minorHAnsi"/>
                <w:sz w:val="24"/>
                <w:szCs w:val="24"/>
              </w:rPr>
              <w:t>Joshua Seiden</w:t>
            </w:r>
          </w:p>
        </w:tc>
        <w:tc>
          <w:tcPr>
            <w:tcW w:w="2430" w:type="dxa"/>
          </w:tcPr>
          <w:p w:rsidR="004112D3" w:rsidRPr="00720D81" w:rsidRDefault="004112D3" w:rsidP="00720D81">
            <w:pPr>
              <w:rPr>
                <w:rFonts w:cstheme="minorHAnsi"/>
                <w:sz w:val="24"/>
                <w:szCs w:val="24"/>
              </w:rPr>
            </w:pPr>
            <w:r w:rsidRPr="00720D81">
              <w:rPr>
                <w:rFonts w:cstheme="minorHAnsi"/>
                <w:sz w:val="24"/>
                <w:szCs w:val="24"/>
              </w:rPr>
              <w:t>Santanu Chatterjee</w:t>
            </w:r>
          </w:p>
        </w:tc>
        <w:tc>
          <w:tcPr>
            <w:tcW w:w="8100" w:type="dxa"/>
          </w:tcPr>
          <w:p w:rsidR="004112D3" w:rsidRPr="00720D81" w:rsidRDefault="004112D3" w:rsidP="00720D81">
            <w:pPr>
              <w:rPr>
                <w:rFonts w:cstheme="minorHAnsi"/>
                <w:sz w:val="24"/>
                <w:szCs w:val="24"/>
              </w:rPr>
            </w:pPr>
            <w:r w:rsidRPr="00720D81">
              <w:rPr>
                <w:rFonts w:cstheme="minorHAnsi"/>
                <w:sz w:val="24"/>
                <w:szCs w:val="24"/>
              </w:rPr>
              <w:t>Examining the Substitutional Effect between Human Services based 501(c)(3) Organizations and Means-Tested Government Programs</w:t>
            </w:r>
          </w:p>
        </w:tc>
      </w:tr>
      <w:tr w:rsidR="004112D3" w:rsidRPr="00720D81" w:rsidTr="00720D81">
        <w:tc>
          <w:tcPr>
            <w:tcW w:w="2155" w:type="dxa"/>
          </w:tcPr>
          <w:p w:rsidR="004112D3" w:rsidRPr="003B27ED" w:rsidRDefault="004112D3" w:rsidP="00720D81">
            <w:pPr>
              <w:rPr>
                <w:rFonts w:cstheme="minorHAnsi"/>
                <w:sz w:val="24"/>
                <w:szCs w:val="24"/>
              </w:rPr>
            </w:pPr>
            <w:r w:rsidRPr="003B27ED">
              <w:rPr>
                <w:rFonts w:cstheme="minorHAnsi"/>
                <w:sz w:val="24"/>
                <w:szCs w:val="24"/>
              </w:rPr>
              <w:t>Bailey  Shea</w:t>
            </w:r>
          </w:p>
        </w:tc>
        <w:tc>
          <w:tcPr>
            <w:tcW w:w="2430" w:type="dxa"/>
          </w:tcPr>
          <w:p w:rsidR="004112D3" w:rsidRPr="00720D81" w:rsidRDefault="004112D3" w:rsidP="00720D81">
            <w:pPr>
              <w:rPr>
                <w:rFonts w:cstheme="minorHAnsi"/>
                <w:sz w:val="24"/>
                <w:szCs w:val="24"/>
              </w:rPr>
            </w:pPr>
            <w:r w:rsidRPr="00720D81">
              <w:rPr>
                <w:rFonts w:cstheme="minorHAnsi"/>
                <w:sz w:val="24"/>
                <w:szCs w:val="24"/>
              </w:rPr>
              <w:t>Richard Martin</w:t>
            </w:r>
          </w:p>
        </w:tc>
        <w:tc>
          <w:tcPr>
            <w:tcW w:w="8100" w:type="dxa"/>
          </w:tcPr>
          <w:p w:rsidR="004112D3" w:rsidRPr="00720D81" w:rsidRDefault="00720D81" w:rsidP="00720D81">
            <w:pPr>
              <w:ind w:right="162"/>
              <w:rPr>
                <w:rFonts w:cstheme="minorHAnsi"/>
                <w:sz w:val="24"/>
                <w:szCs w:val="24"/>
              </w:rPr>
            </w:pPr>
            <w:r w:rsidRPr="00720D81">
              <w:rPr>
                <w:rFonts w:cstheme="minorHAnsi"/>
                <w:sz w:val="24"/>
                <w:szCs w:val="24"/>
              </w:rPr>
              <w:t>Residential Mobility and Concentrations of Poverty: Consequences of Gentrification in Atlanta, 2000-2010</w:t>
            </w:r>
          </w:p>
        </w:tc>
      </w:tr>
      <w:tr w:rsidR="004112D3" w:rsidRPr="00720D81" w:rsidTr="00720D81">
        <w:tc>
          <w:tcPr>
            <w:tcW w:w="2155" w:type="dxa"/>
          </w:tcPr>
          <w:p w:rsidR="004112D3" w:rsidRPr="003B27ED" w:rsidRDefault="004112D3" w:rsidP="00720D81">
            <w:pPr>
              <w:rPr>
                <w:rFonts w:cstheme="minorHAnsi"/>
                <w:sz w:val="24"/>
                <w:szCs w:val="24"/>
              </w:rPr>
            </w:pPr>
            <w:r w:rsidRPr="003B27ED">
              <w:rPr>
                <w:rFonts w:cstheme="minorHAnsi"/>
                <w:sz w:val="24"/>
                <w:szCs w:val="24"/>
              </w:rPr>
              <w:t>Evan Wallace</w:t>
            </w:r>
          </w:p>
        </w:tc>
        <w:tc>
          <w:tcPr>
            <w:tcW w:w="2430" w:type="dxa"/>
          </w:tcPr>
          <w:p w:rsidR="004112D3" w:rsidRPr="00720D81" w:rsidRDefault="004112D3" w:rsidP="00720D81">
            <w:pPr>
              <w:rPr>
                <w:rFonts w:cstheme="minorHAnsi"/>
                <w:sz w:val="24"/>
                <w:szCs w:val="24"/>
              </w:rPr>
            </w:pPr>
            <w:r w:rsidRPr="00720D81">
              <w:rPr>
                <w:rFonts w:cstheme="minorHAnsi"/>
                <w:sz w:val="24"/>
                <w:szCs w:val="24"/>
              </w:rPr>
              <w:t>Santanu Chatterjee</w:t>
            </w:r>
          </w:p>
        </w:tc>
        <w:tc>
          <w:tcPr>
            <w:tcW w:w="8100" w:type="dxa"/>
          </w:tcPr>
          <w:p w:rsidR="004112D3" w:rsidRPr="00720D81" w:rsidRDefault="004112D3" w:rsidP="00720D81">
            <w:pPr>
              <w:rPr>
                <w:rFonts w:cstheme="minorHAnsi"/>
                <w:sz w:val="24"/>
                <w:szCs w:val="24"/>
              </w:rPr>
            </w:pPr>
            <w:r w:rsidRPr="00720D81">
              <w:rPr>
                <w:rFonts w:cstheme="minorHAnsi"/>
                <w:sz w:val="24"/>
                <w:szCs w:val="24"/>
              </w:rPr>
              <w:t>Will Helping Corporations Help Everyone Else? How Corporate Tax Rates Are Related to GDP Growth and FDI Inflows</w:t>
            </w:r>
          </w:p>
        </w:tc>
      </w:tr>
      <w:tr w:rsidR="004112D3" w:rsidRPr="00720D81" w:rsidTr="00720D81">
        <w:tc>
          <w:tcPr>
            <w:tcW w:w="2155" w:type="dxa"/>
          </w:tcPr>
          <w:p w:rsidR="004112D3" w:rsidRPr="003B27ED" w:rsidRDefault="004112D3" w:rsidP="00720D81">
            <w:pPr>
              <w:rPr>
                <w:rFonts w:cstheme="minorHAnsi"/>
                <w:sz w:val="24"/>
                <w:szCs w:val="24"/>
              </w:rPr>
            </w:pPr>
            <w:r w:rsidRPr="003B27ED">
              <w:rPr>
                <w:rFonts w:cstheme="minorHAnsi"/>
                <w:sz w:val="24"/>
                <w:szCs w:val="24"/>
              </w:rPr>
              <w:t>Courtney Weaver</w:t>
            </w:r>
          </w:p>
        </w:tc>
        <w:tc>
          <w:tcPr>
            <w:tcW w:w="2430" w:type="dxa"/>
          </w:tcPr>
          <w:p w:rsidR="004112D3" w:rsidRPr="00720D81" w:rsidRDefault="004112D3" w:rsidP="00720D81">
            <w:pPr>
              <w:rPr>
                <w:rFonts w:cstheme="minorHAnsi"/>
                <w:sz w:val="24"/>
                <w:szCs w:val="24"/>
              </w:rPr>
            </w:pPr>
            <w:r w:rsidRPr="00720D81">
              <w:rPr>
                <w:rFonts w:cstheme="minorHAnsi"/>
                <w:sz w:val="24"/>
                <w:szCs w:val="24"/>
              </w:rPr>
              <w:t>Chris Cornwell</w:t>
            </w:r>
          </w:p>
        </w:tc>
        <w:tc>
          <w:tcPr>
            <w:tcW w:w="8100" w:type="dxa"/>
          </w:tcPr>
          <w:p w:rsidR="004112D3" w:rsidRPr="00720D81" w:rsidRDefault="004112D3" w:rsidP="00720D81">
            <w:pPr>
              <w:rPr>
                <w:rFonts w:cstheme="minorHAnsi"/>
                <w:sz w:val="24"/>
                <w:szCs w:val="24"/>
              </w:rPr>
            </w:pPr>
            <w:r w:rsidRPr="00720D81">
              <w:rPr>
                <w:rFonts w:cstheme="minorHAnsi"/>
                <w:sz w:val="24"/>
                <w:szCs w:val="24"/>
              </w:rPr>
              <w:t>The Effect of Winning on Attendance in Major League Baseball</w:t>
            </w:r>
          </w:p>
        </w:tc>
      </w:tr>
    </w:tbl>
    <w:p w:rsidR="00BB0B9F" w:rsidRDefault="00BB0B9F" w:rsidP="00BB0B9F"/>
    <w:sectPr w:rsidR="00BB0B9F" w:rsidSect="00BB0B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9F"/>
    <w:rsid w:val="003B27ED"/>
    <w:rsid w:val="004112D3"/>
    <w:rsid w:val="00720D81"/>
    <w:rsid w:val="00BB0B9F"/>
    <w:rsid w:val="00BC6376"/>
    <w:rsid w:val="00D804DC"/>
    <w:rsid w:val="00DB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4DA01"/>
  <w15:chartTrackingRefBased/>
  <w15:docId w15:val="{9A4BF4F1-D006-4DC9-926C-A8855AD3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12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1599</Characters>
  <Application>Microsoft Office Word</Application>
  <DocSecurity>0</DocSecurity>
  <Lines>123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Kinman</dc:creator>
  <cp:keywords/>
  <dc:description/>
  <cp:lastModifiedBy>Diana Davis Beckett</cp:lastModifiedBy>
  <cp:revision>2</cp:revision>
  <dcterms:created xsi:type="dcterms:W3CDTF">2018-06-14T15:00:00Z</dcterms:created>
  <dcterms:modified xsi:type="dcterms:W3CDTF">2018-06-14T15:00:00Z</dcterms:modified>
</cp:coreProperties>
</file>